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4714875</wp:posOffset>
            </wp:positionH>
            <wp:positionV relativeFrom="paragraph">
              <wp:posOffset>142875</wp:posOffset>
            </wp:positionV>
            <wp:extent cx="1134363" cy="1134363"/>
            <wp:effectExtent b="0" l="0" r="0" t="0"/>
            <wp:wrapSquare wrapText="bothSides" distB="114300" distT="11430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4363" cy="1134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Nezaměstnanost v České republice roste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firstLine="0"/>
        <w:jc w:val="left"/>
        <w:rPr>
          <w:rFonts w:ascii="Helvetica Neue" w:cs="Helvetica Neue" w:eastAsia="Helvetica Neue" w:hAnsi="Helvetica Neue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Pracujte se slovníkem. Tvořte věty s těmito výrazy.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nezaměstnanost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▲ hledat zaměstnání ▲ úřad práce ▲ umělá inteligence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kvalifikovaní zaměstnanci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Označte, co slyšíte.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Podle statistik v tomto roce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vzrostla / klesla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nezaměstnanost v Česku.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Úřady práce evidovaly na konci ledna skoro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30 / 300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tisíc lidí, kteří hledají zaměstnání.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Toto číslo se zvýšilo i kvůli zpomalení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ekonomiky / vzdělávání.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Důvodem je také zavádění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pomalé / umělé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inteligence do pracovních procesů.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  <w:u w:val="none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1">
            <w:col w:space="0" w:w="9071.5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Na trhu práce stále chybí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kvalifikovaní /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mladí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zaměstnanci.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Spojte věty.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Podle statistik letos v ČR vzrostla</w:t>
        <w:tab/>
        <w:tab/>
        <w:t xml:space="preserve">téměř 300 tisíc lidí.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je nejvíc </w:t>
        <w:tab/>
        <w:tab/>
        <w:tab/>
        <w:tab/>
        <w:tab/>
        <w:t xml:space="preserve">nezaměstnanost na 4 %.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Toto číslo se zvýšilo                                           </w:t>
        <w:tab/>
        <w:t xml:space="preserve">od roku 2018.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Úřady práce evidovaly</w:t>
        <w:tab/>
        <w:tab/>
        <w:tab/>
        <w:tab/>
        <w:t xml:space="preserve">kvůli inflaci a zpomalení ekonomiky.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Důvodem zvýšení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také</w:t>
        <w:tab/>
        <w:tab/>
        <w:tab/>
        <w:t xml:space="preserve">inženýrské profese,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technici, zdravotníci a řidiči.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trhu práce stále chybí</w:t>
        <w:tab/>
        <w:tab/>
        <w:tab/>
        <w:t xml:space="preserve">zavádění umělé inteligence do pracovních procesů.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  <w:cols w:equalWidth="0" w:num="1">
        <w:col w:space="0" w:w="907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lLzc9b3MjcHuPM+Zl4y/Qq3x5Q==">CgMxLjAyCGguZ2pkZ3hzMg5oLm54Z25tZXJlbmE2ajgAciExSkFYZ003LUlqeHFrVmQ3TjRWLU1Ia1JLbEV5R3JISGg=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